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CD784A" w:rsidRPr="00CD784A">
        <w:rPr>
          <w:sz w:val="28"/>
          <w:szCs w:val="28"/>
        </w:rPr>
        <w:t>Mülltonne</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CD784A" w:rsidTr="00CD784A">
        <w:tc>
          <w:tcPr>
            <w:tcW w:w="2466" w:type="dxa"/>
            <w:vAlign w:val="center"/>
          </w:tcPr>
          <w:p w:rsidR="00CD784A" w:rsidRPr="00200908" w:rsidRDefault="00CD784A" w:rsidP="005C2F82">
            <w:pPr>
              <w:pStyle w:val="IQB-Merkmal"/>
              <w:rPr>
                <w:sz w:val="22"/>
              </w:rPr>
            </w:pPr>
            <w:r w:rsidRPr="00200908">
              <w:rPr>
                <w:sz w:val="22"/>
              </w:rPr>
              <w:t>Leitidee</w:t>
            </w:r>
          </w:p>
        </w:tc>
        <w:tc>
          <w:tcPr>
            <w:tcW w:w="6604" w:type="dxa"/>
          </w:tcPr>
          <w:p w:rsidR="00CD784A" w:rsidRPr="00200908" w:rsidRDefault="00CD784A" w:rsidP="005C2F82">
            <w:pPr>
              <w:pStyle w:val="IQB-Merkmalswert"/>
              <w:rPr>
                <w:sz w:val="22"/>
                <w:szCs w:val="22"/>
              </w:rPr>
            </w:pPr>
            <w:r w:rsidRPr="00200908">
              <w:rPr>
                <w:sz w:val="22"/>
                <w:szCs w:val="22"/>
              </w:rPr>
              <w:t>Messen (L2)</w:t>
            </w:r>
          </w:p>
        </w:tc>
      </w:tr>
      <w:tr w:rsidR="00CD784A" w:rsidTr="00CD784A">
        <w:tc>
          <w:tcPr>
            <w:tcW w:w="2466" w:type="dxa"/>
            <w:vAlign w:val="center"/>
          </w:tcPr>
          <w:p w:rsidR="00CD784A" w:rsidRPr="00200908" w:rsidRDefault="00CD784A" w:rsidP="005C2F82">
            <w:pPr>
              <w:pStyle w:val="IQB-Merkmal"/>
              <w:rPr>
                <w:sz w:val="22"/>
              </w:rPr>
            </w:pPr>
            <w:r w:rsidRPr="00200908">
              <w:rPr>
                <w:sz w:val="22"/>
              </w:rPr>
              <w:t>Allgemeine Komp</w:t>
            </w:r>
            <w:r w:rsidRPr="00200908">
              <w:rPr>
                <w:sz w:val="22"/>
              </w:rPr>
              <w:t>e</w:t>
            </w:r>
            <w:r w:rsidRPr="00200908">
              <w:rPr>
                <w:sz w:val="22"/>
              </w:rPr>
              <w:t>tenzen</w:t>
            </w:r>
          </w:p>
        </w:tc>
        <w:tc>
          <w:tcPr>
            <w:tcW w:w="6604" w:type="dxa"/>
          </w:tcPr>
          <w:p w:rsidR="00CD784A" w:rsidRDefault="00CD784A" w:rsidP="005C2F82">
            <w:pPr>
              <w:pStyle w:val="IQB-Merkmalswert"/>
              <w:rPr>
                <w:sz w:val="22"/>
                <w:szCs w:val="22"/>
              </w:rPr>
            </w:pPr>
            <w:r>
              <w:rPr>
                <w:sz w:val="22"/>
                <w:szCs w:val="22"/>
              </w:rPr>
              <w:t>Mathematisch modellieren (K3)</w:t>
            </w:r>
          </w:p>
          <w:p w:rsidR="00CD784A" w:rsidRDefault="00CD784A" w:rsidP="005C2F82">
            <w:pPr>
              <w:pStyle w:val="IQB-Merkmalswert"/>
              <w:rPr>
                <w:sz w:val="22"/>
                <w:szCs w:val="22"/>
              </w:rPr>
            </w:pPr>
            <w:r w:rsidRPr="00200908">
              <w:rPr>
                <w:sz w:val="22"/>
                <w:szCs w:val="22"/>
              </w:rPr>
              <w:t>Mit symbolischen, formalen und technischen Elementen der M</w:t>
            </w:r>
            <w:r w:rsidRPr="00200908">
              <w:rPr>
                <w:sz w:val="22"/>
                <w:szCs w:val="22"/>
              </w:rPr>
              <w:t>a</w:t>
            </w:r>
            <w:r>
              <w:rPr>
                <w:sz w:val="22"/>
                <w:szCs w:val="22"/>
              </w:rPr>
              <w:t>thematik umgehen (K5)</w:t>
            </w:r>
          </w:p>
          <w:p w:rsidR="00CD784A" w:rsidRPr="00200908" w:rsidRDefault="00CD784A" w:rsidP="005C2F82">
            <w:pPr>
              <w:pStyle w:val="IQB-Merkmalswert"/>
              <w:rPr>
                <w:sz w:val="22"/>
                <w:szCs w:val="22"/>
              </w:rPr>
            </w:pPr>
            <w:r>
              <w:rPr>
                <w:sz w:val="22"/>
                <w:szCs w:val="22"/>
              </w:rPr>
              <w:t>Math</w:t>
            </w:r>
            <w:r>
              <w:rPr>
                <w:sz w:val="22"/>
                <w:szCs w:val="22"/>
              </w:rPr>
              <w:t>e</w:t>
            </w:r>
            <w:r>
              <w:rPr>
                <w:sz w:val="22"/>
                <w:szCs w:val="22"/>
              </w:rPr>
              <w:t>matisch kommunizieren</w:t>
            </w:r>
            <w:r w:rsidRPr="00200908">
              <w:rPr>
                <w:sz w:val="22"/>
                <w:szCs w:val="22"/>
              </w:rPr>
              <w:t xml:space="preserve"> (K6)</w:t>
            </w:r>
          </w:p>
        </w:tc>
      </w:tr>
      <w:tr w:rsidR="00CD784A" w:rsidTr="00CD784A">
        <w:tc>
          <w:tcPr>
            <w:tcW w:w="2466" w:type="dxa"/>
            <w:vAlign w:val="center"/>
          </w:tcPr>
          <w:p w:rsidR="00CD784A" w:rsidRPr="00200908" w:rsidRDefault="00CD784A" w:rsidP="005C2F82">
            <w:pPr>
              <w:pStyle w:val="IQB-Merkmal"/>
              <w:rPr>
                <w:sz w:val="22"/>
              </w:rPr>
            </w:pPr>
            <w:r w:rsidRPr="00200908">
              <w:rPr>
                <w:sz w:val="22"/>
              </w:rPr>
              <w:t>Anforderungsbereich</w:t>
            </w:r>
          </w:p>
        </w:tc>
        <w:tc>
          <w:tcPr>
            <w:tcW w:w="6604" w:type="dxa"/>
          </w:tcPr>
          <w:p w:rsidR="00CD784A" w:rsidRPr="00200908" w:rsidRDefault="00CD784A" w:rsidP="005C2F82">
            <w:pPr>
              <w:pStyle w:val="IQB-Merkmalswert"/>
              <w:rPr>
                <w:sz w:val="22"/>
                <w:szCs w:val="22"/>
              </w:rPr>
            </w:pPr>
            <w:r w:rsidRPr="00200908">
              <w:rPr>
                <w:sz w:val="22"/>
                <w:szCs w:val="22"/>
              </w:rPr>
              <w:t>III</w:t>
            </w:r>
          </w:p>
        </w:tc>
      </w:tr>
      <w:tr w:rsidR="00CD784A" w:rsidTr="00CD784A">
        <w:tc>
          <w:tcPr>
            <w:tcW w:w="2466" w:type="dxa"/>
            <w:vAlign w:val="center"/>
          </w:tcPr>
          <w:p w:rsidR="00CD784A" w:rsidRPr="00200908" w:rsidRDefault="00CD784A" w:rsidP="005C2F82">
            <w:pPr>
              <w:pStyle w:val="IQB-Merkmal"/>
              <w:rPr>
                <w:sz w:val="22"/>
              </w:rPr>
            </w:pPr>
            <w:r w:rsidRPr="00200908">
              <w:rPr>
                <w:sz w:val="22"/>
              </w:rPr>
              <w:t>Kompetenzstufe</w:t>
            </w:r>
          </w:p>
        </w:tc>
        <w:tc>
          <w:tcPr>
            <w:tcW w:w="6604" w:type="dxa"/>
          </w:tcPr>
          <w:p w:rsidR="00CD784A" w:rsidRPr="00200908" w:rsidRDefault="00CD784A" w:rsidP="005C2F82">
            <w:pPr>
              <w:pStyle w:val="IQB-Merkmalswert"/>
              <w:rPr>
                <w:sz w:val="22"/>
                <w:szCs w:val="22"/>
              </w:rPr>
            </w:pPr>
            <w:r w:rsidRPr="00200908">
              <w:rPr>
                <w:sz w:val="22"/>
                <w:szCs w:val="22"/>
              </w:rPr>
              <w:t>5</w:t>
            </w:r>
          </w:p>
        </w:tc>
      </w:tr>
    </w:tbl>
    <w:p w:rsidR="00694A63" w:rsidRPr="00694A63" w:rsidRDefault="00694A63" w:rsidP="00694A63">
      <w:pPr>
        <w:pStyle w:val="IQB-Teilaufgabentitel"/>
        <w:rPr>
          <w:b/>
        </w:rPr>
      </w:pPr>
      <w:r w:rsidRPr="00694A63">
        <w:rPr>
          <w:b/>
        </w:rPr>
        <w:t>Aufgabenbezogener Kommentar</w:t>
      </w:r>
    </w:p>
    <w:p w:rsidR="00CD784A" w:rsidRPr="00CD784A" w:rsidRDefault="00CD784A" w:rsidP="00CD784A">
      <w:pPr>
        <w:jc w:val="both"/>
        <w:rPr>
          <w:rFonts w:ascii="Arial" w:hAnsi="Arial"/>
          <w:sz w:val="22"/>
          <w:szCs w:val="22"/>
        </w:rPr>
      </w:pPr>
      <w:r w:rsidRPr="00CD784A">
        <w:rPr>
          <w:rFonts w:ascii="Arial" w:hAnsi="Arial"/>
          <w:sz w:val="22"/>
          <w:szCs w:val="22"/>
        </w:rPr>
        <w:t xml:space="preserve">In der Aufgabe „Mülltonne“ muss ein Volumen berechnet werden. Daher wird die Aufgabe der Leitidee </w:t>
      </w:r>
      <w:r w:rsidRPr="00CD784A">
        <w:rPr>
          <w:rFonts w:ascii="Arial" w:hAnsi="Arial"/>
          <w:i/>
          <w:sz w:val="22"/>
          <w:szCs w:val="22"/>
        </w:rPr>
        <w:t>Messen</w:t>
      </w:r>
      <w:r w:rsidRPr="00CD784A">
        <w:rPr>
          <w:rFonts w:ascii="Arial" w:hAnsi="Arial"/>
          <w:sz w:val="22"/>
          <w:szCs w:val="22"/>
        </w:rPr>
        <w:t> (L2) zugeordnet.</w:t>
      </w:r>
    </w:p>
    <w:p w:rsidR="00CD784A" w:rsidRPr="00CD784A" w:rsidRDefault="00CD784A" w:rsidP="00CD784A">
      <w:pPr>
        <w:jc w:val="both"/>
        <w:rPr>
          <w:rFonts w:ascii="Arial" w:hAnsi="Arial"/>
          <w:sz w:val="22"/>
          <w:szCs w:val="22"/>
        </w:rPr>
      </w:pPr>
    </w:p>
    <w:p w:rsidR="00CD784A" w:rsidRPr="00CD784A" w:rsidRDefault="00CD784A" w:rsidP="00CD784A">
      <w:pPr>
        <w:jc w:val="both"/>
        <w:rPr>
          <w:rFonts w:ascii="Arial" w:hAnsi="Arial"/>
          <w:sz w:val="22"/>
          <w:szCs w:val="22"/>
        </w:rPr>
      </w:pPr>
      <w:r w:rsidRPr="00CD784A">
        <w:rPr>
          <w:rFonts w:ascii="Arial" w:hAnsi="Arial"/>
          <w:sz w:val="22"/>
          <w:szCs w:val="22"/>
        </w:rPr>
        <w:t xml:space="preserve">Zur Bearbeitung der Aufgabe müssen einem realen Bild Informationen entnommen werden. Größen sind dabei nicht vorgegeben, sondern müssen (mithilfe einer Vergleichsgröße) geschätzt werden. Auch die Form der Mülltonne muss in ein mathematisches Modell übertragen werden. Damit fordert die Aufgabe vor allem die Kompetenz </w:t>
      </w:r>
      <w:r w:rsidRPr="00CD784A">
        <w:rPr>
          <w:rFonts w:ascii="Arial" w:hAnsi="Arial"/>
          <w:i/>
          <w:sz w:val="22"/>
          <w:szCs w:val="22"/>
        </w:rPr>
        <w:t>Mathematisch modellieren</w:t>
      </w:r>
      <w:r w:rsidRPr="00CD784A">
        <w:rPr>
          <w:rFonts w:ascii="Arial" w:hAnsi="Arial"/>
          <w:sz w:val="22"/>
          <w:szCs w:val="22"/>
        </w:rPr>
        <w:t xml:space="preserve"> (K3). Die Volumenberechnung, d.h. das Rechnen im mathematischen Modell, erfordert zudem die Kompetenz </w:t>
      </w:r>
      <w:r w:rsidRPr="00CD784A">
        <w:rPr>
          <w:rFonts w:ascii="Arial" w:hAnsi="Arial"/>
          <w:i/>
          <w:sz w:val="22"/>
          <w:szCs w:val="22"/>
        </w:rPr>
        <w:t>Mit symbolischen, formalen und technischen Elementen der Mathematik umzugehen</w:t>
      </w:r>
      <w:r w:rsidRPr="00CD784A">
        <w:rPr>
          <w:rFonts w:ascii="Arial" w:hAnsi="Arial"/>
          <w:sz w:val="22"/>
          <w:szCs w:val="22"/>
        </w:rPr>
        <w:t xml:space="preserve"> (K5). Der Lösungsweg soll außerdem notiert werden. Gerade wenn Annahmen getroffen werden, ist es wichtig, diese zur Nachvollziehbarkeit der Lösung zu dokumentieren. Daher setzt die Aufgabe „Mülltonne“ auch die Kompetenz </w:t>
      </w:r>
      <w:r w:rsidRPr="00CD784A">
        <w:rPr>
          <w:rFonts w:ascii="Arial" w:hAnsi="Arial"/>
          <w:i/>
          <w:sz w:val="22"/>
          <w:szCs w:val="22"/>
        </w:rPr>
        <w:t>Mathematisch kommunizieren</w:t>
      </w:r>
      <w:r w:rsidRPr="00CD784A">
        <w:rPr>
          <w:rFonts w:ascii="Arial" w:hAnsi="Arial"/>
          <w:sz w:val="22"/>
          <w:szCs w:val="22"/>
        </w:rPr>
        <w:t> (K6) voraus.</w:t>
      </w:r>
    </w:p>
    <w:p w:rsidR="00CD784A" w:rsidRPr="00CD784A" w:rsidRDefault="00CD784A" w:rsidP="00CD784A">
      <w:pPr>
        <w:jc w:val="both"/>
        <w:rPr>
          <w:rFonts w:ascii="Arial" w:hAnsi="Arial"/>
          <w:sz w:val="22"/>
          <w:szCs w:val="22"/>
        </w:rPr>
      </w:pPr>
    </w:p>
    <w:p w:rsidR="00CD784A" w:rsidRPr="00CD784A" w:rsidRDefault="00CD784A" w:rsidP="00CD784A">
      <w:pPr>
        <w:jc w:val="both"/>
        <w:rPr>
          <w:rFonts w:ascii="Arial" w:hAnsi="Arial"/>
          <w:sz w:val="22"/>
          <w:szCs w:val="22"/>
        </w:rPr>
      </w:pPr>
      <w:r w:rsidRPr="00CD784A">
        <w:rPr>
          <w:rFonts w:ascii="Arial" w:hAnsi="Arial"/>
          <w:sz w:val="22"/>
          <w:szCs w:val="22"/>
        </w:rPr>
        <w:t>Da es sich hier um eine komplexe Modellierung handelt, die zudem bis auf die Interpretation und Validierung gänzlich durchgeführt werden muss, befindet sich die Aufgabe im Anforderungsbereich III.</w:t>
      </w:r>
    </w:p>
    <w:p w:rsidR="00694A63" w:rsidRPr="00694A63" w:rsidRDefault="00694A63" w:rsidP="00694A63">
      <w:pPr>
        <w:pStyle w:val="IQB-Teilaufgabentitel"/>
        <w:rPr>
          <w:b/>
        </w:rPr>
      </w:pPr>
      <w:r w:rsidRPr="00694A63">
        <w:rPr>
          <w:b/>
        </w:rPr>
        <w:t>Anregungen für den Unterricht</w:t>
      </w:r>
    </w:p>
    <w:p w:rsidR="00CD784A" w:rsidRPr="00CD784A" w:rsidRDefault="00CD784A" w:rsidP="00CD784A">
      <w:pPr>
        <w:jc w:val="both"/>
        <w:rPr>
          <w:rFonts w:ascii="Arial" w:hAnsi="Arial"/>
          <w:sz w:val="22"/>
          <w:szCs w:val="22"/>
        </w:rPr>
      </w:pPr>
      <w:r w:rsidRPr="00CD784A">
        <w:rPr>
          <w:rFonts w:ascii="Arial" w:hAnsi="Arial"/>
          <w:sz w:val="22"/>
          <w:szCs w:val="22"/>
        </w:rPr>
        <w:t>Offen gestellte Aufgaben wie diese bieten der Lehrkraft die Möglichkeit, ein genaueres Bild von den Kompetenzen einzelner Schülerinnen und Schülern zu erlangen. Es werden im Folgenden zwei exemplarische Lösungen vorgestellt, anhand derer dieses Potential verdeutlicht werden soll.</w:t>
      </w:r>
    </w:p>
    <w:p w:rsidR="00CD784A" w:rsidRPr="00CD784A" w:rsidRDefault="00CD784A" w:rsidP="00CD784A">
      <w:pPr>
        <w:jc w:val="both"/>
        <w:rPr>
          <w:rFonts w:ascii="Arial" w:hAnsi="Arial"/>
          <w:sz w:val="22"/>
          <w:szCs w:val="22"/>
        </w:rPr>
      </w:pPr>
    </w:p>
    <w:p w:rsidR="00CD784A" w:rsidRPr="00CD784A" w:rsidRDefault="00CD784A" w:rsidP="00CD784A">
      <w:pPr>
        <w:jc w:val="both"/>
        <w:rPr>
          <w:rFonts w:ascii="Arial" w:hAnsi="Arial"/>
          <w:sz w:val="22"/>
          <w:szCs w:val="22"/>
        </w:rPr>
      </w:pPr>
      <w:r w:rsidRPr="00CD784A">
        <w:rPr>
          <w:rFonts w:ascii="Arial" w:hAnsi="Arial"/>
          <w:sz w:val="22"/>
          <w:szCs w:val="22"/>
        </w:rPr>
        <w:t xml:space="preserve">In Schülerlösung 1 zeigt sich, dass der Proband die nötigen Fähigkeiten im Umgang mit formalen Elementen der Volumenberechnung beherrscht. Das Volumen eines Quaders kann fehlerfrei berechnet werden. Ebenso ist zu erkennen, dass die Kompetenz </w:t>
      </w:r>
      <w:r w:rsidRPr="00CD784A">
        <w:rPr>
          <w:rFonts w:ascii="Arial" w:hAnsi="Arial"/>
          <w:i/>
          <w:sz w:val="22"/>
          <w:szCs w:val="22"/>
        </w:rPr>
        <w:t>Mathematisch kommunizieren</w:t>
      </w:r>
      <w:r w:rsidRPr="00CD784A">
        <w:rPr>
          <w:rFonts w:ascii="Arial" w:hAnsi="Arial"/>
          <w:sz w:val="22"/>
          <w:szCs w:val="22"/>
        </w:rPr>
        <w:t xml:space="preserve"> (K6) ausgebildet ist. Die Messvorgänge sind dokumentiert und die Rechnung anschließend zwar nicht inhaltlich, jedoch dem Ablauf gemäß dargelegt. Die Fehllösung ist hier alleine dem Umstand geschuldet, dass die Mülltonne nur im Bild und nicht in ihren Abmessungen in der Wirklichkeit berücksichtigt worden ist. Es hätte also zur Lösung noch die Verwendung eines Maßstabs hinzugenommen werden müssen. </w:t>
      </w:r>
    </w:p>
    <w:p w:rsidR="00CD784A" w:rsidRPr="00CD784A" w:rsidRDefault="00CD784A" w:rsidP="00CD784A">
      <w:pPr>
        <w:rPr>
          <w:rFonts w:ascii="Arial" w:hAnsi="Arial"/>
          <w:sz w:val="18"/>
        </w:rPr>
      </w:pPr>
    </w:p>
    <w:p w:rsidR="00CD784A" w:rsidRPr="00CD784A" w:rsidRDefault="00CD784A" w:rsidP="00CD784A">
      <w:pPr>
        <w:keepNext/>
        <w:rPr>
          <w:rFonts w:ascii="Arial" w:hAnsi="Arial"/>
          <w:sz w:val="18"/>
        </w:rPr>
      </w:pPr>
      <w:r w:rsidRPr="00CD784A">
        <w:rPr>
          <w:rFonts w:ascii="Arial" w:hAnsi="Arial"/>
          <w:noProof/>
          <w:sz w:val="18"/>
        </w:rPr>
        <w:lastRenderedPageBreak/>
        <w:drawing>
          <wp:inline distT="0" distB="0" distL="0" distR="0">
            <wp:extent cx="5151120" cy="2082165"/>
            <wp:effectExtent l="19050" t="19050" r="11430" b="1333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51120" cy="2082165"/>
                    </a:xfrm>
                    <a:prstGeom prst="rect">
                      <a:avLst/>
                    </a:prstGeom>
                    <a:noFill/>
                    <a:ln w="9525" cmpd="sng">
                      <a:solidFill>
                        <a:srgbClr val="000000"/>
                      </a:solidFill>
                      <a:miter lim="800000"/>
                      <a:headEnd/>
                      <a:tailEnd/>
                    </a:ln>
                    <a:effectLst/>
                  </pic:spPr>
                </pic:pic>
              </a:graphicData>
            </a:graphic>
          </wp:inline>
        </w:drawing>
      </w:r>
    </w:p>
    <w:p w:rsidR="00CD784A" w:rsidRPr="00CD784A" w:rsidRDefault="00CD784A" w:rsidP="00CD784A">
      <w:pPr>
        <w:rPr>
          <w:rFonts w:ascii="Arial" w:hAnsi="Arial"/>
          <w:bCs/>
          <w:i/>
          <w:sz w:val="20"/>
          <w:szCs w:val="20"/>
        </w:rPr>
      </w:pPr>
      <w:r w:rsidRPr="00CD784A">
        <w:rPr>
          <w:rFonts w:ascii="Arial" w:hAnsi="Arial"/>
          <w:bCs/>
          <w:i/>
          <w:sz w:val="20"/>
          <w:szCs w:val="20"/>
        </w:rPr>
        <w:t>Abbildung 1: Schülerlösung 1</w:t>
      </w:r>
    </w:p>
    <w:p w:rsidR="00CD784A" w:rsidRPr="00CD784A" w:rsidRDefault="00CD784A" w:rsidP="00CD784A">
      <w:pPr>
        <w:rPr>
          <w:rFonts w:ascii="Arial" w:hAnsi="Arial"/>
          <w:sz w:val="22"/>
          <w:szCs w:val="22"/>
        </w:rPr>
      </w:pPr>
    </w:p>
    <w:p w:rsidR="00CD784A" w:rsidRPr="00CD784A" w:rsidRDefault="00CD784A" w:rsidP="00CD784A">
      <w:pPr>
        <w:jc w:val="both"/>
        <w:rPr>
          <w:rFonts w:ascii="Arial" w:hAnsi="Arial"/>
          <w:sz w:val="22"/>
          <w:szCs w:val="22"/>
        </w:rPr>
      </w:pPr>
      <w:r w:rsidRPr="00CD784A">
        <w:rPr>
          <w:rFonts w:ascii="Arial" w:hAnsi="Arial"/>
          <w:sz w:val="22"/>
          <w:szCs w:val="22"/>
        </w:rPr>
        <w:t xml:space="preserve">In Schülerlösung 2 sind ebenfalls die innermathematischen Fähigkeiten vorhanden, um das Volumen eines Quaders zu berechnen. Hier werden auch realistische Annahmen zu den Maßen der Mülltonne gemacht. So führt Schülerlösung 2 zwar zu einem Ergebnis im geforderten Intervall, jedoch kann das Vorgehen nur aus der Rechnung heraus erschlossen werden und es wird nicht deutlich, wie auf die genannten Längenmaße geschlossen worden ist. Dies deutet an, dass die Kompetenz </w:t>
      </w:r>
      <w:r w:rsidRPr="00CD784A">
        <w:rPr>
          <w:rFonts w:ascii="Arial" w:hAnsi="Arial"/>
          <w:i/>
          <w:sz w:val="22"/>
          <w:szCs w:val="22"/>
        </w:rPr>
        <w:t>Mathematisch kommunizieren</w:t>
      </w:r>
      <w:r w:rsidRPr="00CD784A">
        <w:rPr>
          <w:rFonts w:ascii="Arial" w:hAnsi="Arial"/>
          <w:sz w:val="22"/>
          <w:szCs w:val="22"/>
        </w:rPr>
        <w:t xml:space="preserve"> (K6) noch stärker entwickelt werden sollte. </w:t>
      </w:r>
    </w:p>
    <w:p w:rsidR="00CD784A" w:rsidRPr="00CD784A" w:rsidRDefault="00CD784A" w:rsidP="00CD784A">
      <w:pPr>
        <w:jc w:val="both"/>
        <w:rPr>
          <w:rFonts w:ascii="Arial" w:hAnsi="Arial"/>
          <w:sz w:val="22"/>
          <w:szCs w:val="22"/>
        </w:rPr>
      </w:pPr>
    </w:p>
    <w:p w:rsidR="00CD784A" w:rsidRPr="00CD784A" w:rsidRDefault="00CD784A" w:rsidP="00CD784A">
      <w:pPr>
        <w:rPr>
          <w:rFonts w:ascii="Arial" w:hAnsi="Arial"/>
          <w:sz w:val="18"/>
        </w:rPr>
      </w:pPr>
      <w:r w:rsidRPr="00CD784A">
        <w:rPr>
          <w:rFonts w:ascii="Arial" w:hAnsi="Arial"/>
          <w:noProof/>
          <w:sz w:val="18"/>
        </w:rPr>
        <w:drawing>
          <wp:inline distT="0" distB="0" distL="0" distR="0">
            <wp:extent cx="5233035" cy="2200275"/>
            <wp:effectExtent l="19050" t="19050" r="24765" b="2857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33035" cy="2200275"/>
                    </a:xfrm>
                    <a:prstGeom prst="rect">
                      <a:avLst/>
                    </a:prstGeom>
                    <a:noFill/>
                    <a:ln w="9525" cmpd="sng">
                      <a:solidFill>
                        <a:srgbClr val="000000"/>
                      </a:solidFill>
                      <a:miter lim="800000"/>
                      <a:headEnd/>
                      <a:tailEnd/>
                    </a:ln>
                    <a:effectLst/>
                  </pic:spPr>
                </pic:pic>
              </a:graphicData>
            </a:graphic>
          </wp:inline>
        </w:drawing>
      </w:r>
    </w:p>
    <w:p w:rsidR="00CD784A" w:rsidRPr="00CD784A" w:rsidRDefault="00CD784A" w:rsidP="00CD784A">
      <w:pPr>
        <w:rPr>
          <w:rFonts w:ascii="Arial" w:hAnsi="Arial"/>
          <w:bCs/>
          <w:i/>
          <w:sz w:val="20"/>
          <w:szCs w:val="20"/>
        </w:rPr>
      </w:pPr>
      <w:r w:rsidRPr="00CD784A">
        <w:rPr>
          <w:rFonts w:ascii="Arial" w:hAnsi="Arial"/>
          <w:bCs/>
          <w:i/>
          <w:sz w:val="20"/>
          <w:szCs w:val="20"/>
        </w:rPr>
        <w:t>Abbildung 2: Schülerlösung 2</w:t>
      </w:r>
    </w:p>
    <w:p w:rsidR="00CD784A" w:rsidRPr="00CD784A" w:rsidRDefault="00CD784A" w:rsidP="00CD784A">
      <w:pPr>
        <w:rPr>
          <w:rFonts w:ascii="Arial" w:hAnsi="Arial"/>
          <w:sz w:val="18"/>
        </w:rPr>
      </w:pPr>
    </w:p>
    <w:p w:rsidR="00CD784A" w:rsidRPr="00CD784A" w:rsidRDefault="00CD784A" w:rsidP="00CD784A">
      <w:pPr>
        <w:jc w:val="both"/>
        <w:rPr>
          <w:rFonts w:ascii="Arial" w:hAnsi="Arial"/>
          <w:sz w:val="22"/>
          <w:szCs w:val="22"/>
        </w:rPr>
      </w:pPr>
      <w:r w:rsidRPr="00CD784A">
        <w:rPr>
          <w:rFonts w:ascii="Arial" w:hAnsi="Arial"/>
          <w:sz w:val="22"/>
          <w:szCs w:val="22"/>
        </w:rPr>
        <w:t xml:space="preserve">Für die individuelle Rückmeldung an Schülerinnen und Schüler kann eine wie hier vorgestellte detaillierte Durchsicht von Schülerlösungen sinnvoll sein. Schülerinnen und Schüler erhalten so Rückmeldung über ihre Stärken und Schwächen. Hat man von Anfang an vor eine bestimmte Kompetenz zu </w:t>
      </w:r>
      <w:r w:rsidRPr="00CD784A">
        <w:rPr>
          <w:rFonts w:ascii="Arial" w:hAnsi="Arial"/>
          <w:i/>
          <w:sz w:val="22"/>
          <w:szCs w:val="22"/>
        </w:rPr>
        <w:t>diagnostizieren</w:t>
      </w:r>
      <w:r w:rsidRPr="00CD784A">
        <w:rPr>
          <w:rFonts w:ascii="Arial" w:hAnsi="Arial"/>
          <w:sz w:val="22"/>
          <w:szCs w:val="22"/>
        </w:rPr>
        <w:t>, so empfiehlt es sich Testaufgaben dazu gezielt zu formulieren. So kann man beispielsweise zur genauen Diagnose von Modellierungskompetenzen einzelne Teilschritte eines Modellierungskreislaufes adressieren. Im Folgenden werden dazu einige Aufgabentypen ansatzweise beschrieben, aus denen sich gemäß den eigenen Absichten und konkreten Sachverhalten Diagnoseaufgaben formulieren lassen.</w:t>
      </w:r>
    </w:p>
    <w:p w:rsidR="00CD784A" w:rsidRPr="00CD784A" w:rsidRDefault="00CD784A" w:rsidP="00CD784A">
      <w:pPr>
        <w:jc w:val="both"/>
        <w:rPr>
          <w:rFonts w:ascii="Arial" w:hAnsi="Arial"/>
          <w:sz w:val="22"/>
          <w:szCs w:val="22"/>
        </w:rPr>
      </w:pPr>
    </w:p>
    <w:p w:rsidR="00CD784A" w:rsidRPr="00CD784A" w:rsidRDefault="00CD784A" w:rsidP="00CD784A">
      <w:pPr>
        <w:jc w:val="both"/>
        <w:rPr>
          <w:rFonts w:ascii="Arial" w:hAnsi="Arial"/>
          <w:sz w:val="22"/>
          <w:szCs w:val="22"/>
        </w:rPr>
      </w:pPr>
      <w:r w:rsidRPr="00CD784A">
        <w:rPr>
          <w:rFonts w:ascii="Arial" w:hAnsi="Arial"/>
          <w:b/>
          <w:sz w:val="22"/>
          <w:szCs w:val="22"/>
        </w:rPr>
        <w:t>Umgang mit Unsicherheit:</w:t>
      </w:r>
      <w:r w:rsidRPr="00CD784A">
        <w:rPr>
          <w:rFonts w:ascii="Arial" w:hAnsi="Arial"/>
          <w:sz w:val="22"/>
          <w:szCs w:val="22"/>
        </w:rPr>
        <w:t xml:space="preserve"> Aufgaben mit überflüssigen Informationen geben oder, wie im Beispiel „Mülltonne“, Informationen weglassen, die anhand einer Vergleichsgröße geschätzt werden müssen.</w:t>
      </w:r>
    </w:p>
    <w:p w:rsidR="00CD784A" w:rsidRPr="00CD784A" w:rsidRDefault="00CD784A" w:rsidP="00CD784A">
      <w:pPr>
        <w:jc w:val="both"/>
        <w:rPr>
          <w:rFonts w:ascii="Arial" w:hAnsi="Arial"/>
          <w:sz w:val="22"/>
          <w:szCs w:val="22"/>
        </w:rPr>
      </w:pPr>
    </w:p>
    <w:p w:rsidR="00CD784A" w:rsidRPr="00CD784A" w:rsidRDefault="00CD784A" w:rsidP="00CD784A">
      <w:pPr>
        <w:jc w:val="both"/>
        <w:rPr>
          <w:rFonts w:ascii="Arial" w:hAnsi="Arial"/>
          <w:sz w:val="22"/>
          <w:szCs w:val="22"/>
        </w:rPr>
      </w:pPr>
      <w:r w:rsidRPr="00CD784A">
        <w:rPr>
          <w:rFonts w:ascii="Arial" w:hAnsi="Arial"/>
          <w:b/>
          <w:sz w:val="22"/>
          <w:szCs w:val="22"/>
        </w:rPr>
        <w:t>Schätzen, Überschlagen:</w:t>
      </w:r>
      <w:r w:rsidRPr="00CD784A">
        <w:rPr>
          <w:rFonts w:ascii="Arial" w:hAnsi="Arial"/>
          <w:sz w:val="22"/>
          <w:szCs w:val="22"/>
        </w:rPr>
        <w:t xml:space="preserve"> Fermi-Aufgaben, bei denen mit geschätzten Größen Überschlagsrechnungen angestellt werden müssen.</w:t>
      </w:r>
    </w:p>
    <w:p w:rsidR="00CD784A" w:rsidRPr="00CD784A" w:rsidRDefault="00CD784A" w:rsidP="00CD784A">
      <w:pPr>
        <w:jc w:val="both"/>
        <w:rPr>
          <w:rFonts w:ascii="Arial" w:hAnsi="Arial"/>
          <w:sz w:val="22"/>
          <w:szCs w:val="22"/>
        </w:rPr>
      </w:pPr>
    </w:p>
    <w:p w:rsidR="00CD784A" w:rsidRPr="00CD784A" w:rsidRDefault="00CD784A" w:rsidP="00CD784A">
      <w:pPr>
        <w:jc w:val="both"/>
        <w:rPr>
          <w:rFonts w:ascii="Arial" w:hAnsi="Arial"/>
          <w:sz w:val="22"/>
          <w:szCs w:val="22"/>
        </w:rPr>
      </w:pPr>
      <w:r w:rsidRPr="00CD784A">
        <w:rPr>
          <w:rFonts w:ascii="Arial" w:hAnsi="Arial"/>
          <w:b/>
          <w:sz w:val="22"/>
          <w:szCs w:val="22"/>
        </w:rPr>
        <w:t>Vereinfachen:</w:t>
      </w:r>
      <w:r w:rsidRPr="00CD784A">
        <w:rPr>
          <w:rFonts w:ascii="Arial" w:hAnsi="Arial"/>
          <w:sz w:val="22"/>
          <w:szCs w:val="22"/>
        </w:rPr>
        <w:t xml:space="preserve"> Eine gezielte Frage danach stellen, welche Annahmen und/oder Vereinfachungen gemacht werden müssen ohne zu rechnen.</w:t>
      </w:r>
    </w:p>
    <w:p w:rsidR="00CD784A" w:rsidRPr="00CD784A" w:rsidRDefault="00CD784A" w:rsidP="00CD784A">
      <w:pPr>
        <w:jc w:val="both"/>
        <w:rPr>
          <w:rFonts w:ascii="Arial" w:hAnsi="Arial"/>
          <w:sz w:val="22"/>
          <w:szCs w:val="22"/>
        </w:rPr>
      </w:pPr>
    </w:p>
    <w:p w:rsidR="00CD784A" w:rsidRPr="00CD784A" w:rsidRDefault="00CD784A" w:rsidP="00CD784A">
      <w:pPr>
        <w:jc w:val="both"/>
        <w:rPr>
          <w:rFonts w:ascii="Arial" w:hAnsi="Arial"/>
          <w:sz w:val="22"/>
          <w:szCs w:val="22"/>
        </w:rPr>
      </w:pPr>
      <w:r w:rsidRPr="00CD784A">
        <w:rPr>
          <w:rFonts w:ascii="Arial" w:hAnsi="Arial"/>
          <w:b/>
          <w:sz w:val="22"/>
          <w:szCs w:val="22"/>
        </w:rPr>
        <w:lastRenderedPageBreak/>
        <w:t>Mathematisieren:</w:t>
      </w:r>
      <w:r w:rsidRPr="00CD784A">
        <w:rPr>
          <w:rFonts w:ascii="Arial" w:hAnsi="Arial"/>
          <w:sz w:val="22"/>
          <w:szCs w:val="22"/>
        </w:rPr>
        <w:t xml:space="preserve"> Im Aufgabentext eine Situation vorstellen und fragen, welcher mathematische Ansatz oder welche mathematische Darstellung (Graph, Term, …) zur Beschreibung dieser Situation geeignet ist. </w:t>
      </w:r>
    </w:p>
    <w:p w:rsidR="00CD784A" w:rsidRPr="00CD784A" w:rsidRDefault="00CD784A" w:rsidP="00CD784A">
      <w:pPr>
        <w:jc w:val="both"/>
        <w:rPr>
          <w:rFonts w:ascii="Arial" w:hAnsi="Arial"/>
          <w:sz w:val="22"/>
          <w:szCs w:val="22"/>
        </w:rPr>
      </w:pPr>
      <w:r w:rsidRPr="00CD784A">
        <w:rPr>
          <w:rFonts w:ascii="Arial" w:hAnsi="Arial"/>
          <w:sz w:val="22"/>
          <w:szCs w:val="22"/>
        </w:rPr>
        <w:t xml:space="preserve"> </w:t>
      </w:r>
    </w:p>
    <w:p w:rsidR="00CD784A" w:rsidRPr="00CD784A" w:rsidRDefault="00CD784A" w:rsidP="00CD784A">
      <w:pPr>
        <w:jc w:val="both"/>
        <w:rPr>
          <w:rFonts w:ascii="Arial" w:hAnsi="Arial"/>
          <w:sz w:val="22"/>
          <w:szCs w:val="22"/>
        </w:rPr>
      </w:pPr>
      <w:r w:rsidRPr="00CD784A">
        <w:rPr>
          <w:rFonts w:ascii="Arial" w:hAnsi="Arial"/>
          <w:b/>
          <w:sz w:val="22"/>
          <w:szCs w:val="22"/>
        </w:rPr>
        <w:t>Realisieren:</w:t>
      </w:r>
      <w:r w:rsidRPr="00CD784A">
        <w:rPr>
          <w:rFonts w:ascii="Arial" w:hAnsi="Arial"/>
          <w:sz w:val="22"/>
          <w:szCs w:val="22"/>
        </w:rPr>
        <w:t xml:space="preserve"> Danach fragen, auf welche Situationen ein gegebenes mathematisches Modell (Rechnung, Term, Zeichnung, …) noch passt.</w:t>
      </w:r>
    </w:p>
    <w:p w:rsidR="00CD784A" w:rsidRPr="00CD784A" w:rsidRDefault="00CD784A" w:rsidP="00CD784A">
      <w:pPr>
        <w:jc w:val="both"/>
        <w:rPr>
          <w:rFonts w:ascii="Arial" w:hAnsi="Arial"/>
          <w:sz w:val="22"/>
          <w:szCs w:val="22"/>
        </w:rPr>
      </w:pPr>
    </w:p>
    <w:p w:rsidR="00CD784A" w:rsidRPr="00CD784A" w:rsidRDefault="00CD784A" w:rsidP="00CD784A">
      <w:pPr>
        <w:jc w:val="both"/>
        <w:rPr>
          <w:rFonts w:ascii="Arial" w:hAnsi="Arial"/>
          <w:sz w:val="22"/>
          <w:szCs w:val="22"/>
        </w:rPr>
      </w:pPr>
      <w:r w:rsidRPr="00CD784A">
        <w:rPr>
          <w:rFonts w:ascii="Arial" w:hAnsi="Arial"/>
          <w:b/>
          <w:sz w:val="22"/>
          <w:szCs w:val="22"/>
        </w:rPr>
        <w:t>Validieren:</w:t>
      </w:r>
      <w:r w:rsidRPr="00CD784A">
        <w:rPr>
          <w:rFonts w:ascii="Arial" w:hAnsi="Arial"/>
          <w:sz w:val="22"/>
          <w:szCs w:val="22"/>
        </w:rPr>
        <w:t xml:space="preserve"> Ein gegebenes Ergebnis bewerten lassen oder danach fragen, wie die Gültigkeit eines Ergebnisses sichergestellt werden kann.</w:t>
      </w:r>
    </w:p>
    <w:p w:rsidR="00CD784A" w:rsidRPr="00CD784A" w:rsidRDefault="00CD784A" w:rsidP="00CD784A">
      <w:pPr>
        <w:jc w:val="both"/>
        <w:rPr>
          <w:rFonts w:ascii="Arial" w:hAnsi="Arial"/>
          <w:sz w:val="22"/>
          <w:szCs w:val="22"/>
        </w:rPr>
      </w:pPr>
    </w:p>
    <w:p w:rsidR="00CD784A" w:rsidRPr="00CD784A" w:rsidRDefault="00CD784A" w:rsidP="00CD784A">
      <w:pPr>
        <w:jc w:val="both"/>
        <w:rPr>
          <w:rFonts w:ascii="Arial" w:hAnsi="Arial"/>
          <w:sz w:val="22"/>
          <w:szCs w:val="22"/>
        </w:rPr>
      </w:pPr>
      <w:r w:rsidRPr="00CD784A">
        <w:rPr>
          <w:rFonts w:ascii="Arial" w:hAnsi="Arial"/>
          <w:noProof/>
          <w:sz w:val="18"/>
        </w:rPr>
        <mc:AlternateContent>
          <mc:Choice Requires="wps">
            <w:drawing>
              <wp:anchor distT="0" distB="0" distL="114300" distR="114300" simplePos="0" relativeHeight="251659264" behindDoc="0" locked="0" layoutInCell="1" allowOverlap="1">
                <wp:simplePos x="0" y="0"/>
                <wp:positionH relativeFrom="column">
                  <wp:posOffset>6049010</wp:posOffset>
                </wp:positionH>
                <wp:positionV relativeFrom="paragraph">
                  <wp:posOffset>677545</wp:posOffset>
                </wp:positionV>
                <wp:extent cx="81915" cy="61595"/>
                <wp:effectExtent l="0" t="0" r="13335" b="14605"/>
                <wp:wrapNone/>
                <wp:docPr id="6"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81915" cy="61595"/>
                        </a:xfrm>
                        <a:prstGeom prst="rect">
                          <a:avLst/>
                        </a:prstGeom>
                        <a:solidFill>
                          <a:sysClr val="window" lastClr="FFFFFF"/>
                        </a:solidFill>
                        <a:ln w="0">
                          <a:solidFill>
                            <a:sysClr val="window" lastClr="FFFFFF"/>
                          </a:solidFill>
                        </a:ln>
                        <a:effectLst/>
                      </wps:spPr>
                      <wps:txbx>
                        <w:txbxContent>
                          <w:p w:rsidR="00CD784A" w:rsidRDefault="00CD784A" w:rsidP="00CD78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6" o:spid="_x0000_s1026" type="#_x0000_t202" style="position:absolute;left:0;text-align:left;margin-left:476.3pt;margin-top:53.35pt;width:6.45pt;height:4.8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" fillcolor="window" strokecolor="window" strokeweight="0">
                <v:path arrowok="t"/>
                <v:textbox>
                  <w:txbxContent>
                    <w:p w:rsidR="00CD784A" w:rsidRDefault="00CD784A" w:rsidP="00CD784A"/>
                  </w:txbxContent>
                </v:textbox>
              </v:shape>
            </w:pict>
          </mc:Fallback>
        </mc:AlternateContent>
      </w:r>
      <w:r w:rsidRPr="00CD784A">
        <w:rPr>
          <w:rFonts w:ascii="Arial" w:hAnsi="Arial"/>
          <w:sz w:val="22"/>
          <w:szCs w:val="22"/>
        </w:rPr>
        <w:t xml:space="preserve">Die Beispiele sind entnommen aus S. </w:t>
      </w:r>
      <w:proofErr w:type="spellStart"/>
      <w:r w:rsidRPr="00CD784A">
        <w:rPr>
          <w:rFonts w:ascii="Arial" w:hAnsi="Arial"/>
          <w:sz w:val="22"/>
          <w:szCs w:val="22"/>
        </w:rPr>
        <w:t>Hußmann</w:t>
      </w:r>
      <w:proofErr w:type="spellEnd"/>
      <w:r w:rsidRPr="00CD784A">
        <w:rPr>
          <w:rFonts w:ascii="Arial" w:hAnsi="Arial"/>
          <w:sz w:val="22"/>
          <w:szCs w:val="22"/>
        </w:rPr>
        <w:t xml:space="preserve">, T. </w:t>
      </w:r>
      <w:proofErr w:type="spellStart"/>
      <w:r w:rsidRPr="00CD784A">
        <w:rPr>
          <w:rFonts w:ascii="Arial" w:hAnsi="Arial"/>
          <w:sz w:val="22"/>
          <w:szCs w:val="22"/>
        </w:rPr>
        <w:t>Leuders</w:t>
      </w:r>
      <w:proofErr w:type="spellEnd"/>
      <w:r w:rsidRPr="00CD784A">
        <w:rPr>
          <w:rFonts w:ascii="Arial" w:hAnsi="Arial"/>
          <w:sz w:val="22"/>
          <w:szCs w:val="22"/>
        </w:rPr>
        <w:t xml:space="preserve"> &amp; S. Prediger (2007). Schülerleistungen verstehen – Diagnose im Alltag. </w:t>
      </w:r>
      <w:r w:rsidRPr="00CD784A">
        <w:rPr>
          <w:rFonts w:ascii="Arial" w:hAnsi="Arial"/>
          <w:i/>
          <w:sz w:val="22"/>
          <w:szCs w:val="22"/>
        </w:rPr>
        <w:t>Praxis der Mathematik in der Schule (PM)</w:t>
      </w:r>
      <w:r w:rsidRPr="00CD784A">
        <w:rPr>
          <w:rFonts w:ascii="Arial" w:hAnsi="Arial"/>
          <w:sz w:val="22"/>
          <w:szCs w:val="22"/>
        </w:rPr>
        <w:t xml:space="preserve">, (15), S. 1-8. Dort finden sich weitere Formulierungshilfen zur Diagnose von mathematischen Verfahren, inhaltlichen Vorstellungen und mathematischen Begriffen. Ein Auszug aus dem Artikel ist auf der Homepage von Timo </w:t>
      </w:r>
      <w:proofErr w:type="spellStart"/>
      <w:r w:rsidRPr="00CD784A">
        <w:rPr>
          <w:rFonts w:ascii="Arial" w:hAnsi="Arial"/>
          <w:sz w:val="22"/>
          <w:szCs w:val="22"/>
        </w:rPr>
        <w:t>Leuders</w:t>
      </w:r>
      <w:proofErr w:type="spellEnd"/>
      <w:r w:rsidRPr="00CD784A">
        <w:rPr>
          <w:rFonts w:ascii="Arial" w:hAnsi="Arial"/>
          <w:sz w:val="22"/>
          <w:szCs w:val="22"/>
        </w:rPr>
        <w:t xml:space="preserve"> zu finden (https://home.p</w:t>
      </w:r>
      <w:r w:rsidRPr="00CD784A">
        <w:rPr>
          <w:rFonts w:ascii="Arial" w:hAnsi="Arial"/>
          <w:sz w:val="22"/>
          <w:szCs w:val="22"/>
        </w:rPr>
        <w:t>h</w:t>
      </w:r>
      <w:r w:rsidRPr="00CD784A">
        <w:rPr>
          <w:rFonts w:ascii="Arial" w:hAnsi="Arial"/>
          <w:sz w:val="22"/>
          <w:szCs w:val="22"/>
        </w:rPr>
        <w:t>-freiburg.de/leudersf</w:t>
      </w:r>
      <w:r w:rsidRPr="00CD784A">
        <w:rPr>
          <w:rFonts w:ascii="Arial" w:hAnsi="Arial"/>
          <w:sz w:val="22"/>
          <w:szCs w:val="22"/>
        </w:rPr>
        <w:t>r</w:t>
      </w:r>
      <w:r w:rsidRPr="00CD784A">
        <w:rPr>
          <w:rFonts w:ascii="Arial" w:hAnsi="Arial"/>
          <w:sz w:val="22"/>
          <w:szCs w:val="22"/>
        </w:rPr>
        <w:t>/preprint/2007_ hussmannprediger_leuders_diagnose_PM_auszug.p</w:t>
      </w:r>
      <w:r w:rsidRPr="00CD784A">
        <w:rPr>
          <w:rFonts w:ascii="Arial" w:hAnsi="Arial"/>
          <w:sz w:val="22"/>
          <w:szCs w:val="22"/>
        </w:rPr>
        <w:t>d</w:t>
      </w:r>
      <w:r w:rsidRPr="00CD784A">
        <w:rPr>
          <w:rFonts w:ascii="Arial" w:hAnsi="Arial"/>
          <w:sz w:val="22"/>
          <w:szCs w:val="22"/>
        </w:rPr>
        <w:t>f). Weitere Aufgabenbeispiele, insbesondere zu Teilschritten des Modellierens finden sich im Buch „Mathematisches Modellieren. Aufgaben für die Sekundarstufe I“ von Katja Maaß (2008, Cornelsen Scriptor: Berlin).</w:t>
      </w:r>
    </w:p>
    <w:p w:rsidR="00694A63" w:rsidRPr="005B2F65" w:rsidRDefault="00694A63" w:rsidP="00CD784A">
      <w:pPr>
        <w:jc w:val="both"/>
        <w:rPr>
          <w:sz w:val="22"/>
          <w:szCs w:val="22"/>
        </w:rPr>
      </w:pPr>
      <w:bookmarkStart w:id="0" w:name="_GoBack"/>
      <w:bookmarkEnd w:id="0"/>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5CDB6DD3-0197-4C70-9E76-45D23CA29763}"/>
    <w:embedBold r:id="rId2" w:fontKey="{E2468E90-5FF5-4327-BCB9-B518E38C7977}"/>
    <w:embedItalic r:id="rId3" w:fontKey="{781E5507-3E39-4D82-A124-C2A52B701367}"/>
    <w:embedBoldItalic r:id="rId4" w:fontKey="{8E5225A5-6C12-411B-8906-F4B92AA077B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24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D784A"/>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1"/>
    <o:shapelayout v:ext="edit">
      <o:idmap v:ext="edit" data="1"/>
    </o:shapelayout>
  </w:shapeDefaults>
  <w:decimalSymbol w:val=","/>
  <w:listSeparator w:val=";"/>
  <w14:docId w14:val="63E9985C"/>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76F58B-D5D8-4119-BEDB-D21F2636F6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709</Words>
  <Characters>4603</Characters>
  <Application>Microsoft Office Word</Application>
  <DocSecurity>0</DocSecurity>
  <Lines>104</Lines>
  <Paragraphs>48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2025-07-24T08:22:00Z</dcterms:created>
  <dcterms:modified xsi:type="dcterms:W3CDTF">2025-07-24T08:22:00Z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